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2C6B3" w14:textId="46BB878C" w:rsidR="00AF1C38" w:rsidRDefault="00AF1C38" w:rsidP="00AF1C38">
      <w:pPr>
        <w:jc w:val="center"/>
        <w:rPr>
          <w:b/>
          <w:bCs/>
        </w:rPr>
      </w:pPr>
      <w:r>
        <w:rPr>
          <w:b/>
          <w:bCs/>
        </w:rPr>
        <w:t>AGM Summary</w:t>
      </w:r>
    </w:p>
    <w:p w14:paraId="514653F1" w14:textId="5F2BA917" w:rsidR="00AF1C38" w:rsidRPr="00AF1C38" w:rsidRDefault="00AF1C38" w:rsidP="00AF1C38">
      <w:pPr>
        <w:pStyle w:val="ListParagraph"/>
        <w:numPr>
          <w:ilvl w:val="0"/>
          <w:numId w:val="1"/>
        </w:numPr>
        <w:rPr>
          <w:b/>
          <w:bCs/>
        </w:rPr>
      </w:pPr>
      <w:r w:rsidRPr="00AF1C38">
        <w:rPr>
          <w:b/>
          <w:bCs/>
        </w:rPr>
        <w:t>President’s Report</w:t>
      </w:r>
    </w:p>
    <w:p w14:paraId="120F2B21" w14:textId="77777777" w:rsidR="00AF1C38" w:rsidRPr="00AF1C38" w:rsidRDefault="00AF1C38" w:rsidP="00AF1C38">
      <w:r w:rsidRPr="00AF1C38">
        <w:rPr>
          <w:b/>
          <w:bCs/>
        </w:rPr>
        <w:t>Hua (Sara) Zhong, President</w:t>
      </w:r>
    </w:p>
    <w:p w14:paraId="6AF65E03" w14:textId="72A74823" w:rsidR="00AF1C38" w:rsidRPr="00AF1C38" w:rsidRDefault="00AF1C38" w:rsidP="00AF1C38">
      <w:r w:rsidRPr="00AF1C38">
        <w:t xml:space="preserve">The President reported a smooth leadership transition and consolidation of governance during her first year. Key accomplishments included fully operationalizing existing governance rules, introducing and refining award schemes to recognize a broader range of scholarly contributions, and </w:t>
      </w:r>
      <w:r>
        <w:t xml:space="preserve">enhancing administrative efficiency </w:t>
      </w:r>
      <w:proofErr w:type="gramStart"/>
      <w:r>
        <w:t>through the use of</w:t>
      </w:r>
      <w:proofErr w:type="gramEnd"/>
      <w:r w:rsidRPr="00AF1C38">
        <w:t xml:space="preserve"> digital and AI tools. The association expanded its visibility through enhanced social media engagement, including the launch of a WeChat public account, and </w:t>
      </w:r>
      <w:r>
        <w:t>continued to grow</w:t>
      </w:r>
      <w:r w:rsidRPr="00AF1C38">
        <w:t xml:space="preserve"> in membership and international influence through new partnerships. Operationally, the President routinized monthly Board meetings, clarified </w:t>
      </w:r>
      <w:r>
        <w:t xml:space="preserve">the </w:t>
      </w:r>
      <w:r w:rsidRPr="00AF1C38">
        <w:t>division of labor, onboarded a new student officer, and oversaw all core ACCCJ activities. Strategic priorities for the coming year include award protocol review, newsletter reform, expanded publication opportunities, strengthened mentorship and student programming, deeper global engagement, and targeted fundraising initiatives.</w:t>
      </w:r>
    </w:p>
    <w:p w14:paraId="2E4804EE" w14:textId="77777777" w:rsidR="00AF1C38" w:rsidRDefault="00AF1C38" w:rsidP="00AF1C38">
      <w:pPr>
        <w:rPr>
          <w:b/>
          <w:bCs/>
        </w:rPr>
      </w:pPr>
    </w:p>
    <w:p w14:paraId="6D503619" w14:textId="234BCEC4" w:rsidR="00AF1C38" w:rsidRPr="00AF1C38" w:rsidRDefault="00AF1C38" w:rsidP="00AF1C38">
      <w:pPr>
        <w:pStyle w:val="ListParagraph"/>
        <w:numPr>
          <w:ilvl w:val="0"/>
          <w:numId w:val="2"/>
        </w:numPr>
        <w:rPr>
          <w:b/>
          <w:bCs/>
        </w:rPr>
      </w:pPr>
      <w:r w:rsidRPr="00AF1C38">
        <w:rPr>
          <w:b/>
          <w:bCs/>
        </w:rPr>
        <w:t>Summer Activities and ACCCJ @ ASC Panels</w:t>
      </w:r>
    </w:p>
    <w:p w14:paraId="39383EF0" w14:textId="77777777" w:rsidR="00AF1C38" w:rsidRPr="00AF1C38" w:rsidRDefault="00AF1C38" w:rsidP="00AF1C38">
      <w:r w:rsidRPr="00AF1C38">
        <w:rPr>
          <w:b/>
          <w:bCs/>
        </w:rPr>
        <w:t>Yan Zhang, President-Elect</w:t>
      </w:r>
    </w:p>
    <w:p w14:paraId="3DD35FB8" w14:textId="77777777" w:rsidR="00AF1C38" w:rsidRPr="00AF1C38" w:rsidRDefault="00AF1C38" w:rsidP="00AF1C38">
      <w:r w:rsidRPr="00AF1C38">
        <w:t xml:space="preserve">The President-Elect reported on a highly active year of international engagement and conference programming. ACCCJ co-organized or participated in multiple academic events across Asia and Europe, including conferences and symposia in Taipei, </w:t>
      </w:r>
      <w:proofErr w:type="spellStart"/>
      <w:r w:rsidRPr="00AF1C38">
        <w:t>Mianyang</w:t>
      </w:r>
      <w:proofErr w:type="spellEnd"/>
      <w:r w:rsidRPr="00AF1C38">
        <w:t>, Hong Kong, Hangzhou, Liverpool, and Northumbria, with strong member participation in both in-person and hybrid formats. Additional ACCCJ member involvement occurred in Chengdu, Guangzhou, Macau, and other international meetings. At ASC 2025, ACCCJ hosted multiple thematic panels, a leadership forum, the AGM and award ceremony, mentorship luncheon, AGM dinner, and a joint board meeting, reinforcing ACCCJ’s role as a visible and cohesive scholarly community.</w:t>
      </w:r>
    </w:p>
    <w:p w14:paraId="2896A446" w14:textId="77777777" w:rsidR="00AF1C38" w:rsidRDefault="00AF1C38" w:rsidP="00AF1C38">
      <w:pPr>
        <w:rPr>
          <w:b/>
          <w:bCs/>
        </w:rPr>
      </w:pPr>
    </w:p>
    <w:p w14:paraId="712507AF" w14:textId="1BF1DC21" w:rsidR="00AF1C38" w:rsidRPr="00AF1C38" w:rsidRDefault="00AF1C38" w:rsidP="00AF1C38">
      <w:pPr>
        <w:pStyle w:val="ListParagraph"/>
        <w:numPr>
          <w:ilvl w:val="0"/>
          <w:numId w:val="3"/>
        </w:numPr>
        <w:rPr>
          <w:b/>
          <w:bCs/>
        </w:rPr>
      </w:pPr>
      <w:r w:rsidRPr="00AF1C38">
        <w:rPr>
          <w:b/>
          <w:bCs/>
        </w:rPr>
        <w:t>Treasurer’s Financial Report</w:t>
      </w:r>
    </w:p>
    <w:p w14:paraId="34A4BE55" w14:textId="77777777" w:rsidR="00AF1C38" w:rsidRPr="00AF1C38" w:rsidRDefault="00AF1C38" w:rsidP="00AF1C38">
      <w:r w:rsidRPr="00AF1C38">
        <w:rPr>
          <w:b/>
          <w:bCs/>
        </w:rPr>
        <w:t>Xinting (Cyndi) Wang, Treasurer</w:t>
      </w:r>
    </w:p>
    <w:p w14:paraId="2F26A32A" w14:textId="168749EC" w:rsidR="00AF1C38" w:rsidRPr="00AF1C38" w:rsidRDefault="00AF1C38" w:rsidP="00AF1C38">
      <w:r w:rsidRPr="00AF1C38">
        <w:t xml:space="preserve">The Treasurer reported that ACCCJ remains in strong financial standing. As of November 7, 2025, the association maintained a balance of $25,164.45 in the U.S. account and ¥7,253.40 in the Chinese account. Membership totaled 104 active members, including 70 </w:t>
      </w:r>
      <w:r w:rsidRPr="00AF1C38">
        <w:lastRenderedPageBreak/>
        <w:t>lifetime members, with steady growth since November 2024. While no new donors were added this year, existing donors continued their support, including an increased contribution from Professor Ivan Sun. All major expenses related to awards, student support, and AGM operations were documented, and IRS tax filing was completed and accepted. The Treasurer emphasized transparency and fiscal stability.</w:t>
      </w:r>
    </w:p>
    <w:p w14:paraId="781C764A" w14:textId="77777777" w:rsidR="00AF1C38" w:rsidRDefault="00AF1C38" w:rsidP="00AF1C38">
      <w:pPr>
        <w:rPr>
          <w:b/>
          <w:bCs/>
        </w:rPr>
      </w:pPr>
    </w:p>
    <w:p w14:paraId="6DC903F0" w14:textId="42B6C125" w:rsidR="00AF1C38" w:rsidRPr="00AF1C38" w:rsidRDefault="00AF1C38" w:rsidP="00AF1C38">
      <w:pPr>
        <w:pStyle w:val="ListParagraph"/>
        <w:numPr>
          <w:ilvl w:val="0"/>
          <w:numId w:val="4"/>
        </w:numPr>
        <w:rPr>
          <w:b/>
          <w:bCs/>
        </w:rPr>
      </w:pPr>
      <w:r w:rsidRPr="00AF1C38">
        <w:rPr>
          <w:b/>
          <w:bCs/>
        </w:rPr>
        <w:t>Social Media Platforms</w:t>
      </w:r>
    </w:p>
    <w:p w14:paraId="53A8FCB5" w14:textId="77777777" w:rsidR="00AF1C38" w:rsidRPr="00AF1C38" w:rsidRDefault="00AF1C38" w:rsidP="00AF1C38">
      <w:proofErr w:type="spellStart"/>
      <w:r w:rsidRPr="00AF1C38">
        <w:rPr>
          <w:b/>
          <w:bCs/>
        </w:rPr>
        <w:t>Shujing</w:t>
      </w:r>
      <w:proofErr w:type="spellEnd"/>
      <w:r w:rsidRPr="00AF1C38">
        <w:rPr>
          <w:b/>
          <w:bCs/>
        </w:rPr>
        <w:t xml:space="preserve"> Shi, Board Director</w:t>
      </w:r>
    </w:p>
    <w:p w14:paraId="14F38299" w14:textId="77777777" w:rsidR="00AF1C38" w:rsidRPr="00AF1C38" w:rsidRDefault="00AF1C38" w:rsidP="00AF1C38">
      <w:r w:rsidRPr="00AF1C38">
        <w:t>The Social Media report highlighted ACCCJ’s multi-platform presence across X (Twitter), YouTube, and the WeChat Official Account. These platforms disseminate members’ publications, awards, academic activities, ACCCJ events, newsletters, and research updates. The initiative actively solicits member contributions, including reflections, student work, conference announcements, and job-market information. Planned activities include interview features with 2025 award recipients, further strengthening member visibility and engagement.</w:t>
      </w:r>
    </w:p>
    <w:p w14:paraId="0E7C7D52" w14:textId="77777777" w:rsidR="00AF1C38" w:rsidRDefault="00AF1C38" w:rsidP="00AF1C38">
      <w:pPr>
        <w:rPr>
          <w:b/>
          <w:bCs/>
        </w:rPr>
      </w:pPr>
    </w:p>
    <w:p w14:paraId="7C111D96" w14:textId="64A7A547" w:rsidR="00AF1C38" w:rsidRPr="00AF1C38" w:rsidRDefault="00AF1C38" w:rsidP="00AF1C38">
      <w:pPr>
        <w:pStyle w:val="ListParagraph"/>
        <w:numPr>
          <w:ilvl w:val="0"/>
          <w:numId w:val="4"/>
        </w:numPr>
        <w:rPr>
          <w:b/>
          <w:bCs/>
        </w:rPr>
      </w:pPr>
      <w:r w:rsidRPr="00AF1C38">
        <w:rPr>
          <w:b/>
          <w:bCs/>
        </w:rPr>
        <w:t>Website and Research Bulletin</w:t>
      </w:r>
    </w:p>
    <w:p w14:paraId="37A90F76" w14:textId="77777777" w:rsidR="00AF1C38" w:rsidRPr="00AF1C38" w:rsidRDefault="00AF1C38" w:rsidP="00AF1C38">
      <w:proofErr w:type="spellStart"/>
      <w:r w:rsidRPr="00AF1C38">
        <w:rPr>
          <w:b/>
          <w:bCs/>
        </w:rPr>
        <w:t>Sishi</w:t>
      </w:r>
      <w:proofErr w:type="spellEnd"/>
      <w:r w:rsidRPr="00AF1C38">
        <w:rPr>
          <w:b/>
          <w:bCs/>
        </w:rPr>
        <w:t xml:space="preserve"> Wu, Board Director</w:t>
      </w:r>
    </w:p>
    <w:p w14:paraId="6BC2E108" w14:textId="77777777" w:rsidR="00AF1C38" w:rsidRPr="00AF1C38" w:rsidRDefault="00AF1C38" w:rsidP="00AF1C38">
      <w:r w:rsidRPr="00AF1C38">
        <w:t>The Website report emphasized ACCCJ’s digital infrastructure as a central hub for communication and scholarly exchange. Key website features included the ACCCJ Research Bulletin (Volume 2), Newsletter No. 26, the Young Scholar Workshop, and Board of Advisors information. Web traffic analytics showed sustained engagement over the past year, with strong international reach, particularly from the United States, Hong Kong, the United Kingdom, Taiwan, and China. The Research Bulletin showcased recent publications by ACCCJ members, reinforcing the association’s scholarly impact.</w:t>
      </w:r>
    </w:p>
    <w:p w14:paraId="05CCA6DE" w14:textId="77777777" w:rsidR="00AF1C38" w:rsidRDefault="00AF1C38" w:rsidP="00AF1C38">
      <w:pPr>
        <w:rPr>
          <w:b/>
          <w:bCs/>
        </w:rPr>
      </w:pPr>
    </w:p>
    <w:p w14:paraId="60E08E0F" w14:textId="1F61CB9A" w:rsidR="00AF1C38" w:rsidRPr="00AF1C38" w:rsidRDefault="00AF1C38" w:rsidP="00AF1C38">
      <w:pPr>
        <w:pStyle w:val="ListParagraph"/>
        <w:numPr>
          <w:ilvl w:val="0"/>
          <w:numId w:val="5"/>
        </w:numPr>
        <w:rPr>
          <w:b/>
          <w:bCs/>
        </w:rPr>
      </w:pPr>
      <w:r w:rsidRPr="00AF1C38">
        <w:rPr>
          <w:b/>
          <w:bCs/>
        </w:rPr>
        <w:t>Newsletter</w:t>
      </w:r>
    </w:p>
    <w:p w14:paraId="21B6C5B2" w14:textId="77777777" w:rsidR="00AF1C38" w:rsidRPr="00AF1C38" w:rsidRDefault="00AF1C38" w:rsidP="00AF1C38">
      <w:proofErr w:type="spellStart"/>
      <w:r w:rsidRPr="00AF1C38">
        <w:rPr>
          <w:b/>
          <w:bCs/>
        </w:rPr>
        <w:t>Enshen</w:t>
      </w:r>
      <w:proofErr w:type="spellEnd"/>
      <w:r w:rsidRPr="00AF1C38">
        <w:rPr>
          <w:b/>
          <w:bCs/>
        </w:rPr>
        <w:t xml:space="preserve"> Li, Board Director</w:t>
      </w:r>
    </w:p>
    <w:p w14:paraId="7BCAF4E2" w14:textId="77777777" w:rsidR="00AF1C38" w:rsidRPr="00AF1C38" w:rsidRDefault="00AF1C38" w:rsidP="00AF1C38">
      <w:r w:rsidRPr="00AF1C38">
        <w:t xml:space="preserve">The Newsletter report confirmed the continuation of two issues per year. The Spring issue was released in May, and the Winter issue is scheduled for release after ASC in late December. Content is solicited via ACCCJ group emails, compiled into a standardized template, and distributed electronically to members. The newsletter continues to serve as </w:t>
      </w:r>
      <w:r w:rsidRPr="00AF1C38">
        <w:lastRenderedPageBreak/>
        <w:t>a key channel for sharing member achievements, announcements, and association updates.</w:t>
      </w:r>
    </w:p>
    <w:p w14:paraId="3825A083" w14:textId="77777777" w:rsidR="00AF1C38" w:rsidRDefault="00AF1C38" w:rsidP="00AF1C38">
      <w:pPr>
        <w:rPr>
          <w:b/>
          <w:bCs/>
        </w:rPr>
      </w:pPr>
    </w:p>
    <w:p w14:paraId="03D024AD" w14:textId="5CDA2761" w:rsidR="00AF1C38" w:rsidRPr="00AF1C38" w:rsidRDefault="00AF1C38" w:rsidP="00AF1C38">
      <w:pPr>
        <w:pStyle w:val="ListParagraph"/>
        <w:numPr>
          <w:ilvl w:val="0"/>
          <w:numId w:val="5"/>
        </w:numPr>
        <w:rPr>
          <w:b/>
          <w:bCs/>
        </w:rPr>
      </w:pPr>
      <w:r w:rsidRPr="00AF1C38">
        <w:rPr>
          <w:b/>
          <w:bCs/>
        </w:rPr>
        <w:t>Election Report</w:t>
      </w:r>
    </w:p>
    <w:p w14:paraId="631BBB71" w14:textId="77777777" w:rsidR="00AF1C38" w:rsidRPr="00AF1C38" w:rsidRDefault="00AF1C38" w:rsidP="00AF1C38">
      <w:proofErr w:type="spellStart"/>
      <w:r w:rsidRPr="00AF1C38">
        <w:rPr>
          <w:b/>
          <w:bCs/>
        </w:rPr>
        <w:t>Enshen</w:t>
      </w:r>
      <w:proofErr w:type="spellEnd"/>
      <w:r w:rsidRPr="00AF1C38">
        <w:rPr>
          <w:b/>
          <w:bCs/>
        </w:rPr>
        <w:t xml:space="preserve"> Li, Election Committee Chair</w:t>
      </w:r>
    </w:p>
    <w:p w14:paraId="39F2B98A" w14:textId="77777777" w:rsidR="00AF1C38" w:rsidRPr="00AF1C38" w:rsidRDefault="00AF1C38" w:rsidP="00AF1C38">
      <w:r w:rsidRPr="00AF1C38">
        <w:t xml:space="preserve">The Election report detailed the 2025 non-officer Board Director election process. Two vacancies were announced, and an election committee was formed to oversee nominations and voting. Thirty-six ballots were received, with thirty-five valid votes, representing a 26.5% response rate. The Election Committee and Board of Directors endorsed the results, and Peng Wang (University of Hong Kong) and </w:t>
      </w:r>
      <w:proofErr w:type="spellStart"/>
      <w:r w:rsidRPr="00AF1C38">
        <w:t>Shujing</w:t>
      </w:r>
      <w:proofErr w:type="spellEnd"/>
      <w:r w:rsidRPr="00AF1C38">
        <w:t xml:space="preserve"> Shi (University of Cambridge) were elected as Non-Officer Board Directors.</w:t>
      </w:r>
    </w:p>
    <w:p w14:paraId="6F13AFCA" w14:textId="77777777" w:rsidR="00AF1C38" w:rsidRDefault="00AF1C38" w:rsidP="00AF1C38">
      <w:pPr>
        <w:rPr>
          <w:b/>
          <w:bCs/>
        </w:rPr>
      </w:pPr>
    </w:p>
    <w:p w14:paraId="28535C7C" w14:textId="10A6EE61" w:rsidR="00AF1C38" w:rsidRPr="00AF1C38" w:rsidRDefault="00AF1C38" w:rsidP="00AF1C38">
      <w:pPr>
        <w:pStyle w:val="ListParagraph"/>
        <w:numPr>
          <w:ilvl w:val="0"/>
          <w:numId w:val="6"/>
        </w:numPr>
        <w:rPr>
          <w:b/>
          <w:bCs/>
        </w:rPr>
      </w:pPr>
      <w:r w:rsidRPr="00AF1C38">
        <w:rPr>
          <w:b/>
          <w:bCs/>
        </w:rPr>
        <w:t>Awards Program</w:t>
      </w:r>
    </w:p>
    <w:p w14:paraId="210FD784" w14:textId="77777777" w:rsidR="00AF1C38" w:rsidRPr="00AF1C38" w:rsidRDefault="00AF1C38" w:rsidP="00AF1C38">
      <w:proofErr w:type="spellStart"/>
      <w:r w:rsidRPr="00AF1C38">
        <w:rPr>
          <w:b/>
          <w:bCs/>
        </w:rPr>
        <w:t>Siying</w:t>
      </w:r>
      <w:proofErr w:type="spellEnd"/>
      <w:r w:rsidRPr="00AF1C38">
        <w:rPr>
          <w:b/>
          <w:bCs/>
        </w:rPr>
        <w:t xml:space="preserve"> Guo, Award Director</w:t>
      </w:r>
    </w:p>
    <w:p w14:paraId="77CBADF4" w14:textId="77777777" w:rsidR="00AF1C38" w:rsidRPr="00AF1C38" w:rsidRDefault="00AF1C38" w:rsidP="00AF1C38">
      <w:r w:rsidRPr="00AF1C38">
        <w:t xml:space="preserve">The Award Director reported on the administration of seven ACCCJ awards, including those under naming-rights agreements. The Board reviewed, updated, and approved award rules and guidelines in March 2025, ensuring transparency and consistency. Committees were formed for each award, nominations were solicited, and recipients were selected through established procedures. Awards presented included the President’s Service Award, Steven F. Messner Outstanding Book Award, </w:t>
      </w:r>
      <w:proofErr w:type="spellStart"/>
      <w:r w:rsidRPr="00AF1C38">
        <w:t>Shanhe</w:t>
      </w:r>
      <w:proofErr w:type="spellEnd"/>
      <w:r w:rsidRPr="00AF1C38">
        <w:t xml:space="preserve"> Jiang Outstanding Student Paper Award, Jianhong Liu Outstanding Paper Award, Ivan Sun Young Scholar Outstanding Research Award, Hong Lu Outstanding Student Service Award, and the Student Travel Award. The awards program continues to be a cornerstone of ACCCJ’s mission to recognize excellence in research, service, and student development.</w:t>
      </w:r>
    </w:p>
    <w:p w14:paraId="35665D4D" w14:textId="77777777" w:rsidR="00AF1C38" w:rsidRDefault="00AF1C38"/>
    <w:sectPr w:rsidR="00AF1C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32F3"/>
    <w:multiLevelType w:val="hybridMultilevel"/>
    <w:tmpl w:val="B9F8DC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532AE"/>
    <w:multiLevelType w:val="hybridMultilevel"/>
    <w:tmpl w:val="D5B2C0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3B7BF4"/>
    <w:multiLevelType w:val="hybridMultilevel"/>
    <w:tmpl w:val="0EC638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F36C35"/>
    <w:multiLevelType w:val="hybridMultilevel"/>
    <w:tmpl w:val="D27EB0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B6667C"/>
    <w:multiLevelType w:val="hybridMultilevel"/>
    <w:tmpl w:val="E012A5D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823DD2"/>
    <w:multiLevelType w:val="hybridMultilevel"/>
    <w:tmpl w:val="B6C413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389889">
    <w:abstractNumId w:val="1"/>
  </w:num>
  <w:num w:numId="2" w16cid:durableId="1181968161">
    <w:abstractNumId w:val="3"/>
  </w:num>
  <w:num w:numId="3" w16cid:durableId="748884604">
    <w:abstractNumId w:val="5"/>
  </w:num>
  <w:num w:numId="4" w16cid:durableId="1976906137">
    <w:abstractNumId w:val="0"/>
  </w:num>
  <w:num w:numId="5" w16cid:durableId="596407061">
    <w:abstractNumId w:val="4"/>
  </w:num>
  <w:num w:numId="6" w16cid:durableId="1841851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C38"/>
    <w:rsid w:val="008C73B7"/>
    <w:rsid w:val="00AF1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7E3CA"/>
  <w15:chartTrackingRefBased/>
  <w15:docId w15:val="{B81D9FA2-3512-4C53-B8F8-3CC02381E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1C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1C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1C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1C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1C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1C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1C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1C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1C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C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1C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1C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1C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1C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1C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1C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1C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1C38"/>
    <w:rPr>
      <w:rFonts w:eastAsiaTheme="majorEastAsia" w:cstheme="majorBidi"/>
      <w:color w:val="272727" w:themeColor="text1" w:themeTint="D8"/>
    </w:rPr>
  </w:style>
  <w:style w:type="paragraph" w:styleId="Title">
    <w:name w:val="Title"/>
    <w:basedOn w:val="Normal"/>
    <w:next w:val="Normal"/>
    <w:link w:val="TitleChar"/>
    <w:uiPriority w:val="10"/>
    <w:qFormat/>
    <w:rsid w:val="00AF1C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1C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1C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1C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1C38"/>
    <w:pPr>
      <w:spacing w:before="160"/>
      <w:jc w:val="center"/>
    </w:pPr>
    <w:rPr>
      <w:i/>
      <w:iCs/>
      <w:color w:val="404040" w:themeColor="text1" w:themeTint="BF"/>
    </w:rPr>
  </w:style>
  <w:style w:type="character" w:customStyle="1" w:styleId="QuoteChar">
    <w:name w:val="Quote Char"/>
    <w:basedOn w:val="DefaultParagraphFont"/>
    <w:link w:val="Quote"/>
    <w:uiPriority w:val="29"/>
    <w:rsid w:val="00AF1C38"/>
    <w:rPr>
      <w:i/>
      <w:iCs/>
      <w:color w:val="404040" w:themeColor="text1" w:themeTint="BF"/>
    </w:rPr>
  </w:style>
  <w:style w:type="paragraph" w:styleId="ListParagraph">
    <w:name w:val="List Paragraph"/>
    <w:basedOn w:val="Normal"/>
    <w:uiPriority w:val="34"/>
    <w:qFormat/>
    <w:rsid w:val="00AF1C38"/>
    <w:pPr>
      <w:ind w:left="720"/>
      <w:contextualSpacing/>
    </w:pPr>
  </w:style>
  <w:style w:type="character" w:styleId="IntenseEmphasis">
    <w:name w:val="Intense Emphasis"/>
    <w:basedOn w:val="DefaultParagraphFont"/>
    <w:uiPriority w:val="21"/>
    <w:qFormat/>
    <w:rsid w:val="00AF1C38"/>
    <w:rPr>
      <w:i/>
      <w:iCs/>
      <w:color w:val="0F4761" w:themeColor="accent1" w:themeShade="BF"/>
    </w:rPr>
  </w:style>
  <w:style w:type="paragraph" w:styleId="IntenseQuote">
    <w:name w:val="Intense Quote"/>
    <w:basedOn w:val="Normal"/>
    <w:next w:val="Normal"/>
    <w:link w:val="IntenseQuoteChar"/>
    <w:uiPriority w:val="30"/>
    <w:qFormat/>
    <w:rsid w:val="00AF1C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1C38"/>
    <w:rPr>
      <w:i/>
      <w:iCs/>
      <w:color w:val="0F4761" w:themeColor="accent1" w:themeShade="BF"/>
    </w:rPr>
  </w:style>
  <w:style w:type="character" w:styleId="IntenseReference">
    <w:name w:val="Intense Reference"/>
    <w:basedOn w:val="DefaultParagraphFont"/>
    <w:uiPriority w:val="32"/>
    <w:qFormat/>
    <w:rsid w:val="00AF1C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763</Words>
  <Characters>4884</Characters>
  <Application>Microsoft Office Word</Application>
  <DocSecurity>0</DocSecurity>
  <Lines>88</Lines>
  <Paragraphs>27</Paragraphs>
  <ScaleCrop>false</ScaleCrop>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Yan</dc:creator>
  <cp:keywords/>
  <dc:description/>
  <cp:lastModifiedBy>Zhang, Yan</cp:lastModifiedBy>
  <cp:revision>1</cp:revision>
  <dcterms:created xsi:type="dcterms:W3CDTF">2025-12-15T20:02:00Z</dcterms:created>
  <dcterms:modified xsi:type="dcterms:W3CDTF">2025-12-15T20:07:00Z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764ec826-f63e-4b0c-b7b1-a179c28f10f9</vt:lpwstr>
  </property>
</Properties>
</file>